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260F" w14:textId="22823CE9" w:rsidR="00561864" w:rsidRPr="004F4BD7" w:rsidRDefault="00561864" w:rsidP="00561864">
      <w:pPr>
        <w:jc w:val="center"/>
        <w:rPr>
          <w:rFonts w:ascii="Arial" w:hAnsi="Arial" w:cs="Arial"/>
          <w:b/>
          <w:bCs/>
          <w:color w:val="000000" w:themeColor="text1"/>
          <w:sz w:val="18"/>
          <w:szCs w:val="18"/>
        </w:rPr>
      </w:pPr>
      <w:r w:rsidRPr="004F4BD7">
        <w:rPr>
          <w:rFonts w:ascii="Arial" w:hAnsi="Arial" w:cs="Arial"/>
          <w:b/>
          <w:bCs/>
          <w:color w:val="000000" w:themeColor="text1"/>
          <w:sz w:val="18"/>
          <w:szCs w:val="18"/>
        </w:rPr>
        <w:t>RÈGLEMENT DU JEU « CARTES DE CARACTÈRE »</w:t>
      </w:r>
    </w:p>
    <w:p w14:paraId="0B83C430" w14:textId="0435E079" w:rsidR="00561864" w:rsidRPr="004F4BD7" w:rsidRDefault="00561864" w:rsidP="00561864">
      <w:pPr>
        <w:spacing w:line="240" w:lineRule="auto"/>
        <w:jc w:val="center"/>
        <w:rPr>
          <w:rFonts w:ascii="Arial" w:hAnsi="Arial" w:cs="Arial"/>
          <w:b/>
          <w:bCs/>
          <w:color w:val="000000" w:themeColor="text1"/>
          <w:sz w:val="18"/>
          <w:szCs w:val="18"/>
        </w:rPr>
      </w:pPr>
      <w:r w:rsidRPr="004F4BD7">
        <w:rPr>
          <w:rFonts w:ascii="Arial" w:hAnsi="Arial" w:cs="Arial"/>
          <w:b/>
          <w:bCs/>
          <w:color w:val="000000" w:themeColor="text1"/>
          <w:sz w:val="18"/>
          <w:szCs w:val="18"/>
        </w:rPr>
        <w:t xml:space="preserve">Version en vigueur au </w:t>
      </w:r>
      <w:r w:rsidR="00D319E1" w:rsidRPr="004F4BD7">
        <w:rPr>
          <w:rFonts w:ascii="Arial" w:hAnsi="Arial" w:cs="Arial"/>
          <w:b/>
          <w:bCs/>
          <w:color w:val="000000" w:themeColor="text1"/>
          <w:sz w:val="18"/>
          <w:szCs w:val="18"/>
        </w:rPr>
        <w:t>11/07/2025</w:t>
      </w:r>
    </w:p>
    <w:p w14:paraId="56335D01" w14:textId="77777777" w:rsidR="00561864" w:rsidRPr="004F4BD7" w:rsidRDefault="00561864" w:rsidP="00561864">
      <w:pPr>
        <w:rPr>
          <w:rFonts w:ascii="Arial" w:hAnsi="Arial" w:cs="Arial"/>
          <w:b/>
          <w:bCs/>
          <w:color w:val="000000" w:themeColor="text1"/>
          <w:sz w:val="18"/>
          <w:szCs w:val="18"/>
        </w:rPr>
      </w:pPr>
    </w:p>
    <w:p w14:paraId="49F00BA1" w14:textId="77777777" w:rsidR="00561864" w:rsidRPr="004F4BD7" w:rsidRDefault="00561864" w:rsidP="00145B20">
      <w:pPr>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ARTICLE 1 – ORGANISATEUR</w:t>
      </w:r>
    </w:p>
    <w:p w14:paraId="18FAF4D6" w14:textId="23CDE4CE"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La société GESTBOUCH, société par actions simplifiée au capital de 2 050 000 euros, dont le siège social est situé Z.I. La Romanerie Nord, Rue du Paon, 49124 Saint-Barthélemy-d’Anjou, immatriculée au RCS d’Angers sous le numéro 501 709 943 (ci-après « la Société Organisatrice »), organise un jeu</w:t>
      </w:r>
      <w:r w:rsidR="00D319E1" w:rsidRPr="004F4BD7">
        <w:rPr>
          <w:rFonts w:ascii="Arial" w:hAnsi="Arial" w:cs="Arial"/>
          <w:color w:val="000000" w:themeColor="text1"/>
          <w:sz w:val="18"/>
          <w:szCs w:val="18"/>
        </w:rPr>
        <w:t xml:space="preserve"> avec obligation d’achat</w:t>
      </w:r>
      <w:r w:rsidRPr="004F4BD7">
        <w:rPr>
          <w:rFonts w:ascii="Arial" w:hAnsi="Arial" w:cs="Arial"/>
          <w:color w:val="000000" w:themeColor="text1"/>
          <w:sz w:val="18"/>
          <w:szCs w:val="18"/>
        </w:rPr>
        <w:t xml:space="preserve"> intitulé « Cartes de </w:t>
      </w:r>
      <w:r w:rsidR="00F2167A" w:rsidRPr="004F4BD7">
        <w:rPr>
          <w:rFonts w:ascii="Arial" w:hAnsi="Arial" w:cs="Arial"/>
          <w:color w:val="000000" w:themeColor="text1"/>
          <w:sz w:val="18"/>
          <w:szCs w:val="18"/>
        </w:rPr>
        <w:t>Caractère »</w:t>
      </w:r>
      <w:r w:rsidR="00706016" w:rsidRPr="004F4BD7">
        <w:rPr>
          <w:rFonts w:ascii="Arial" w:hAnsi="Arial" w:cs="Arial"/>
          <w:color w:val="000000" w:themeColor="text1"/>
          <w:sz w:val="18"/>
          <w:szCs w:val="18"/>
        </w:rPr>
        <w:t xml:space="preserve"> (ci-après « le jeu »).</w:t>
      </w:r>
    </w:p>
    <w:p w14:paraId="48D6733E" w14:textId="4D57C242" w:rsidR="00145B20" w:rsidRPr="004F4BD7" w:rsidRDefault="00145B20" w:rsidP="00145B20">
      <w:pPr>
        <w:jc w:val="both"/>
        <w:rPr>
          <w:rFonts w:ascii="Arial" w:hAnsi="Arial" w:cs="Arial"/>
          <w:b/>
          <w:bCs/>
          <w:color w:val="000000" w:themeColor="text1"/>
          <w:sz w:val="18"/>
          <w:szCs w:val="18"/>
          <w:u w:val="single"/>
        </w:rPr>
      </w:pPr>
      <w:r w:rsidRPr="004F4BD7">
        <w:rPr>
          <w:rFonts w:ascii="Arial" w:hAnsi="Arial" w:cs="Arial"/>
          <w:b/>
          <w:bCs/>
          <w:color w:val="000000" w:themeColor="text1"/>
          <w:sz w:val="18"/>
          <w:szCs w:val="18"/>
          <w:u w:val="single"/>
        </w:rPr>
        <w:t xml:space="preserve">ARTICLE 2 – ACCEPTATION DU RÈGLEMENT </w:t>
      </w:r>
    </w:p>
    <w:p w14:paraId="6894DF91" w14:textId="5ED9ACBD" w:rsidR="00145B20" w:rsidRPr="004F4BD7" w:rsidRDefault="00145B20"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La participation au jeu nécessite l’acceptation, sans réserve, du présent règlement dans son intégralité.</w:t>
      </w:r>
    </w:p>
    <w:p w14:paraId="6E8F64F2" w14:textId="36260E86" w:rsidR="00561864" w:rsidRPr="004F4BD7" w:rsidRDefault="00561864" w:rsidP="00145B20">
      <w:pPr>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 xml:space="preserve">ARTICLE </w:t>
      </w:r>
      <w:r w:rsidR="00145B20" w:rsidRPr="004F4BD7">
        <w:rPr>
          <w:rFonts w:ascii="Arial" w:hAnsi="Arial" w:cs="Arial"/>
          <w:b/>
          <w:bCs/>
          <w:caps/>
          <w:color w:val="000000" w:themeColor="text1"/>
          <w:sz w:val="18"/>
          <w:szCs w:val="18"/>
          <w:u w:val="single"/>
        </w:rPr>
        <w:t>3</w:t>
      </w:r>
      <w:r w:rsidRPr="004F4BD7">
        <w:rPr>
          <w:rFonts w:ascii="Arial" w:hAnsi="Arial" w:cs="Arial"/>
          <w:b/>
          <w:bCs/>
          <w:caps/>
          <w:color w:val="000000" w:themeColor="text1"/>
          <w:sz w:val="18"/>
          <w:szCs w:val="18"/>
          <w:u w:val="single"/>
        </w:rPr>
        <w:t xml:space="preserve"> – DURÉE DE L’OPÉRATION</w:t>
      </w:r>
    </w:p>
    <w:p w14:paraId="0E208264" w14:textId="43D671D8"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 xml:space="preserve">Le jeu se déroule du 11 juillet au 31 août 2025 inclus, dans les </w:t>
      </w:r>
      <w:r w:rsidR="00C50766" w:rsidRPr="004F4BD7">
        <w:rPr>
          <w:rFonts w:ascii="Arial" w:hAnsi="Arial" w:cs="Arial"/>
          <w:color w:val="000000" w:themeColor="text1"/>
          <w:sz w:val="18"/>
          <w:szCs w:val="18"/>
        </w:rPr>
        <w:t>R</w:t>
      </w:r>
      <w:r w:rsidRPr="004F4BD7">
        <w:rPr>
          <w:rFonts w:ascii="Arial" w:hAnsi="Arial" w:cs="Arial"/>
          <w:color w:val="000000" w:themeColor="text1"/>
          <w:sz w:val="18"/>
          <w:szCs w:val="18"/>
        </w:rPr>
        <w:t>estaurants La Boucherie participants en France métropolitaine.</w:t>
      </w:r>
    </w:p>
    <w:p w14:paraId="1036EE27" w14:textId="6737D8C5" w:rsidR="00561864" w:rsidRPr="004F4BD7" w:rsidRDefault="00561864" w:rsidP="00145B20">
      <w:pPr>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 xml:space="preserve">ARTICLE </w:t>
      </w:r>
      <w:r w:rsidR="00145B20" w:rsidRPr="004F4BD7">
        <w:rPr>
          <w:rFonts w:ascii="Arial" w:hAnsi="Arial" w:cs="Arial"/>
          <w:b/>
          <w:bCs/>
          <w:caps/>
          <w:color w:val="000000" w:themeColor="text1"/>
          <w:sz w:val="18"/>
          <w:szCs w:val="18"/>
          <w:u w:val="single"/>
        </w:rPr>
        <w:t>4</w:t>
      </w:r>
      <w:r w:rsidRPr="004F4BD7">
        <w:rPr>
          <w:rFonts w:ascii="Arial" w:hAnsi="Arial" w:cs="Arial"/>
          <w:b/>
          <w:bCs/>
          <w:caps/>
          <w:color w:val="000000" w:themeColor="text1"/>
          <w:sz w:val="18"/>
          <w:szCs w:val="18"/>
          <w:u w:val="single"/>
        </w:rPr>
        <w:t xml:space="preserve"> – CONDITIONS DE PARTICIPATION</w:t>
      </w:r>
    </w:p>
    <w:p w14:paraId="265B0E02" w14:textId="77777777"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Le jeu est ouvert à toute personne physique majeure, cliente dans l’un des restaurants participants pendant la période de l’opération.</w:t>
      </w:r>
    </w:p>
    <w:p w14:paraId="0E353347" w14:textId="77777777"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L’opération est réservée aux clients ayant commandé un plat issu des races de caractère, hors menus.</w:t>
      </w:r>
    </w:p>
    <w:p w14:paraId="6018E8D8" w14:textId="79A09306" w:rsidR="00145B20" w:rsidRPr="004F4BD7" w:rsidRDefault="00145B20"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Sont exclus de la participation au jeu, le personnel de la Société Organisatrice et plus généralement toute personne ayant collaboré directement ou indirectement à la conception, l’organisation et la gestion du jeu ainsi que les membres de leur famille en ligne directe.</w:t>
      </w:r>
    </w:p>
    <w:p w14:paraId="29FCE863" w14:textId="36778291" w:rsidR="00561864" w:rsidRPr="004F4BD7" w:rsidRDefault="00561864" w:rsidP="00145B20">
      <w:pPr>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 xml:space="preserve">ARTICLE </w:t>
      </w:r>
      <w:r w:rsidR="00145B20" w:rsidRPr="004F4BD7">
        <w:rPr>
          <w:rFonts w:ascii="Arial" w:hAnsi="Arial" w:cs="Arial"/>
          <w:b/>
          <w:bCs/>
          <w:caps/>
          <w:color w:val="000000" w:themeColor="text1"/>
          <w:sz w:val="18"/>
          <w:szCs w:val="18"/>
          <w:u w:val="single"/>
        </w:rPr>
        <w:t>5</w:t>
      </w:r>
      <w:r w:rsidRPr="004F4BD7">
        <w:rPr>
          <w:rFonts w:ascii="Arial" w:hAnsi="Arial" w:cs="Arial"/>
          <w:b/>
          <w:bCs/>
          <w:caps/>
          <w:color w:val="000000" w:themeColor="text1"/>
          <w:sz w:val="18"/>
          <w:szCs w:val="18"/>
          <w:u w:val="single"/>
        </w:rPr>
        <w:t xml:space="preserve"> – MODALITÉS DE PARTICIPATION</w:t>
      </w:r>
    </w:p>
    <w:p w14:paraId="0B5D2E4D" w14:textId="015F785B" w:rsidR="00706016" w:rsidRPr="004F4BD7" w:rsidRDefault="00706016"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Le jeu se déroule du 11 juillet 2025 au 31 août 2025 inclus.</w:t>
      </w:r>
    </w:p>
    <w:p w14:paraId="666BDD47" w14:textId="162201A5"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Pour chaque plat éligible commandé, un jeu "Cartes de Caractère" est remis</w:t>
      </w:r>
      <w:r w:rsidR="0086689F" w:rsidRPr="004F4BD7">
        <w:rPr>
          <w:rFonts w:ascii="Arial" w:hAnsi="Arial" w:cs="Arial"/>
          <w:color w:val="000000" w:themeColor="text1"/>
          <w:sz w:val="18"/>
          <w:szCs w:val="18"/>
        </w:rPr>
        <w:t xml:space="preserve"> au cours du repas</w:t>
      </w:r>
      <w:r w:rsidRPr="004F4BD7">
        <w:rPr>
          <w:rFonts w:ascii="Arial" w:hAnsi="Arial" w:cs="Arial"/>
          <w:color w:val="000000" w:themeColor="text1"/>
          <w:sz w:val="18"/>
          <w:szCs w:val="18"/>
        </w:rPr>
        <w:t>, dans la limite d’un ticket par client et par jour, et de deux jeux maximum par table, sous réserve des stocks disponibles.</w:t>
      </w:r>
    </w:p>
    <w:p w14:paraId="5314D94A" w14:textId="77777777"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Les plats éligibles à l’offre sont les suivants :</w:t>
      </w:r>
    </w:p>
    <w:p w14:paraId="61E0C652" w14:textId="77777777" w:rsidR="00561864" w:rsidRPr="004F4BD7" w:rsidRDefault="00561864" w:rsidP="00145B20">
      <w:pPr>
        <w:pStyle w:val="Paragraphedeliste"/>
        <w:numPr>
          <w:ilvl w:val="0"/>
          <w:numId w:val="4"/>
        </w:numPr>
        <w:tabs>
          <w:tab w:val="num" w:pos="720"/>
        </w:tabs>
        <w:jc w:val="both"/>
        <w:rPr>
          <w:rFonts w:ascii="Arial" w:hAnsi="Arial" w:cs="Arial"/>
          <w:color w:val="000000" w:themeColor="text1"/>
          <w:sz w:val="18"/>
          <w:szCs w:val="18"/>
        </w:rPr>
      </w:pPr>
      <w:r w:rsidRPr="004F4BD7">
        <w:rPr>
          <w:rFonts w:ascii="Arial" w:hAnsi="Arial" w:cs="Arial"/>
          <w:color w:val="000000" w:themeColor="text1"/>
          <w:sz w:val="18"/>
          <w:szCs w:val="18"/>
        </w:rPr>
        <w:t>Entrecôte de nos régions (env. 400 g)</w:t>
      </w:r>
    </w:p>
    <w:p w14:paraId="07251AD9" w14:textId="77777777" w:rsidR="00561864" w:rsidRPr="004F4BD7" w:rsidRDefault="00561864" w:rsidP="00145B20">
      <w:pPr>
        <w:pStyle w:val="Paragraphedeliste"/>
        <w:numPr>
          <w:ilvl w:val="0"/>
          <w:numId w:val="4"/>
        </w:numPr>
        <w:tabs>
          <w:tab w:val="num" w:pos="720"/>
        </w:tabs>
        <w:jc w:val="both"/>
        <w:rPr>
          <w:rFonts w:ascii="Arial" w:hAnsi="Arial" w:cs="Arial"/>
          <w:color w:val="000000" w:themeColor="text1"/>
          <w:sz w:val="18"/>
          <w:szCs w:val="18"/>
        </w:rPr>
      </w:pPr>
      <w:r w:rsidRPr="004F4BD7">
        <w:rPr>
          <w:rFonts w:ascii="Arial" w:hAnsi="Arial" w:cs="Arial"/>
          <w:color w:val="000000" w:themeColor="text1"/>
          <w:sz w:val="18"/>
          <w:szCs w:val="18"/>
        </w:rPr>
        <w:t>Côte de bœuf (env. 500 g sur os)</w:t>
      </w:r>
    </w:p>
    <w:p w14:paraId="3583AF41" w14:textId="77777777" w:rsidR="00561864" w:rsidRPr="004F4BD7" w:rsidRDefault="00561864" w:rsidP="00145B20">
      <w:pPr>
        <w:pStyle w:val="Paragraphedeliste"/>
        <w:numPr>
          <w:ilvl w:val="0"/>
          <w:numId w:val="4"/>
        </w:numPr>
        <w:tabs>
          <w:tab w:val="num" w:pos="720"/>
        </w:tabs>
        <w:jc w:val="both"/>
        <w:rPr>
          <w:rFonts w:ascii="Arial" w:hAnsi="Arial" w:cs="Arial"/>
          <w:color w:val="000000" w:themeColor="text1"/>
          <w:sz w:val="18"/>
          <w:szCs w:val="18"/>
        </w:rPr>
      </w:pPr>
      <w:r w:rsidRPr="004F4BD7">
        <w:rPr>
          <w:rFonts w:ascii="Arial" w:hAnsi="Arial" w:cs="Arial"/>
          <w:color w:val="000000" w:themeColor="text1"/>
          <w:sz w:val="18"/>
          <w:szCs w:val="18"/>
        </w:rPr>
        <w:t>Trésor du Louchébem (env. 350 g)</w:t>
      </w:r>
    </w:p>
    <w:p w14:paraId="17E721D7" w14:textId="77777777" w:rsidR="00561864" w:rsidRPr="004F4BD7" w:rsidRDefault="00561864" w:rsidP="00145B20">
      <w:pPr>
        <w:pStyle w:val="Paragraphedeliste"/>
        <w:numPr>
          <w:ilvl w:val="0"/>
          <w:numId w:val="4"/>
        </w:numPr>
        <w:tabs>
          <w:tab w:val="num" w:pos="720"/>
        </w:tabs>
        <w:jc w:val="both"/>
        <w:rPr>
          <w:rFonts w:ascii="Arial" w:hAnsi="Arial" w:cs="Arial"/>
          <w:color w:val="000000" w:themeColor="text1"/>
          <w:sz w:val="18"/>
          <w:szCs w:val="18"/>
        </w:rPr>
      </w:pPr>
      <w:r w:rsidRPr="004F4BD7">
        <w:rPr>
          <w:rFonts w:ascii="Arial" w:hAnsi="Arial" w:cs="Arial"/>
          <w:color w:val="000000" w:themeColor="text1"/>
          <w:sz w:val="18"/>
          <w:szCs w:val="18"/>
        </w:rPr>
        <w:t>Pavé de cœur de rumsteck (env. 180 g)</w:t>
      </w:r>
    </w:p>
    <w:p w14:paraId="1909E4B0" w14:textId="77777777" w:rsidR="00561864" w:rsidRPr="004F4BD7" w:rsidRDefault="00561864" w:rsidP="00145B20">
      <w:pPr>
        <w:pStyle w:val="Paragraphedeliste"/>
        <w:numPr>
          <w:ilvl w:val="0"/>
          <w:numId w:val="4"/>
        </w:numPr>
        <w:tabs>
          <w:tab w:val="num" w:pos="720"/>
        </w:tabs>
        <w:jc w:val="both"/>
        <w:rPr>
          <w:rFonts w:ascii="Arial" w:hAnsi="Arial" w:cs="Arial"/>
          <w:color w:val="000000" w:themeColor="text1"/>
          <w:sz w:val="18"/>
          <w:szCs w:val="18"/>
        </w:rPr>
      </w:pPr>
      <w:r w:rsidRPr="004F4BD7">
        <w:rPr>
          <w:rFonts w:ascii="Arial" w:hAnsi="Arial" w:cs="Arial"/>
          <w:color w:val="000000" w:themeColor="text1"/>
          <w:sz w:val="18"/>
          <w:szCs w:val="18"/>
        </w:rPr>
        <w:t>Hampe de bœuf (env. 400 g)</w:t>
      </w:r>
    </w:p>
    <w:p w14:paraId="2B96F487" w14:textId="77777777"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L’opération se compose de 60 000 exemplaires de jeux distribués, parmi lesquels se cachent 4 cartes dorées, réparties aléatoirement. Ces cartes ne sont pas identifiables sans ouverture du jeu.</w:t>
      </w:r>
    </w:p>
    <w:p w14:paraId="592FA88C" w14:textId="150474CD" w:rsidR="00561864" w:rsidRPr="004F4BD7" w:rsidRDefault="00561864" w:rsidP="00145B20">
      <w:pPr>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 xml:space="preserve">ARTICLE </w:t>
      </w:r>
      <w:r w:rsidR="00145B20" w:rsidRPr="004F4BD7">
        <w:rPr>
          <w:rFonts w:ascii="Arial" w:hAnsi="Arial" w:cs="Arial"/>
          <w:b/>
          <w:bCs/>
          <w:caps/>
          <w:color w:val="000000" w:themeColor="text1"/>
          <w:sz w:val="18"/>
          <w:szCs w:val="18"/>
          <w:u w:val="single"/>
        </w:rPr>
        <w:t>6</w:t>
      </w:r>
      <w:r w:rsidRPr="004F4BD7">
        <w:rPr>
          <w:rFonts w:ascii="Arial" w:hAnsi="Arial" w:cs="Arial"/>
          <w:b/>
          <w:bCs/>
          <w:caps/>
          <w:color w:val="000000" w:themeColor="text1"/>
          <w:sz w:val="18"/>
          <w:szCs w:val="18"/>
          <w:u w:val="single"/>
        </w:rPr>
        <w:t xml:space="preserve"> – DOTATION</w:t>
      </w:r>
    </w:p>
    <w:p w14:paraId="1461E3F8" w14:textId="67C6714F"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 xml:space="preserve">Chaque carte </w:t>
      </w:r>
      <w:r w:rsidR="00706016" w:rsidRPr="004F4BD7">
        <w:rPr>
          <w:rFonts w:ascii="Arial" w:hAnsi="Arial" w:cs="Arial"/>
          <w:color w:val="000000" w:themeColor="text1"/>
          <w:sz w:val="18"/>
          <w:szCs w:val="18"/>
        </w:rPr>
        <w:t xml:space="preserve">d’une couleur </w:t>
      </w:r>
      <w:r w:rsidRPr="004F4BD7">
        <w:rPr>
          <w:rFonts w:ascii="Arial" w:hAnsi="Arial" w:cs="Arial"/>
          <w:color w:val="000000" w:themeColor="text1"/>
          <w:sz w:val="18"/>
          <w:szCs w:val="18"/>
        </w:rPr>
        <w:t>dorée découverte donne droit à :</w:t>
      </w:r>
    </w:p>
    <w:p w14:paraId="0A736428" w14:textId="62C1F826"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Un repas pour 4 personnes dans un restaurant La Boucherie, d’une valeur maximale de 200 € TTC</w:t>
      </w:r>
      <w:r w:rsidR="00021214" w:rsidRPr="004F4BD7">
        <w:rPr>
          <w:rFonts w:ascii="Arial" w:hAnsi="Arial" w:cs="Arial"/>
          <w:color w:val="000000" w:themeColor="text1"/>
          <w:sz w:val="18"/>
          <w:szCs w:val="18"/>
        </w:rPr>
        <w:t xml:space="preserve">, valable jusqu’au 31 décembre 2025. </w:t>
      </w:r>
    </w:p>
    <w:p w14:paraId="07D61BD1" w14:textId="4B5174AB"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 xml:space="preserve">Le repas est à consommer en une seule fois, sur réservation, dans l’un des restaurants participants. Toute dépense dépassant le montant de 200 € TTC est à la charge du </w:t>
      </w:r>
      <w:r w:rsidR="00706016" w:rsidRPr="004F4BD7">
        <w:rPr>
          <w:rFonts w:ascii="Arial" w:hAnsi="Arial" w:cs="Arial"/>
          <w:color w:val="000000" w:themeColor="text1"/>
          <w:sz w:val="18"/>
          <w:szCs w:val="18"/>
        </w:rPr>
        <w:t>gagnant</w:t>
      </w:r>
      <w:r w:rsidRPr="004F4BD7">
        <w:rPr>
          <w:rFonts w:ascii="Arial" w:hAnsi="Arial" w:cs="Arial"/>
          <w:color w:val="000000" w:themeColor="text1"/>
          <w:sz w:val="18"/>
          <w:szCs w:val="18"/>
        </w:rPr>
        <w:t>. Aucun rendu de monnaie ou remboursement ne sera effectué si le montant du repas est inférieur à cette valeur.</w:t>
      </w:r>
    </w:p>
    <w:p w14:paraId="3BF5C6C4" w14:textId="7EB86F91" w:rsidR="00561864" w:rsidRPr="004F4BD7" w:rsidRDefault="00561864" w:rsidP="00145B20">
      <w:pPr>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 xml:space="preserve">ARTICLE </w:t>
      </w:r>
      <w:r w:rsidR="00145B20" w:rsidRPr="004F4BD7">
        <w:rPr>
          <w:rFonts w:ascii="Arial" w:hAnsi="Arial" w:cs="Arial"/>
          <w:b/>
          <w:bCs/>
          <w:caps/>
          <w:color w:val="000000" w:themeColor="text1"/>
          <w:sz w:val="18"/>
          <w:szCs w:val="18"/>
          <w:u w:val="single"/>
        </w:rPr>
        <w:t>7</w:t>
      </w:r>
      <w:r w:rsidRPr="004F4BD7">
        <w:rPr>
          <w:rFonts w:ascii="Arial" w:hAnsi="Arial" w:cs="Arial"/>
          <w:b/>
          <w:bCs/>
          <w:caps/>
          <w:color w:val="000000" w:themeColor="text1"/>
          <w:sz w:val="18"/>
          <w:szCs w:val="18"/>
          <w:u w:val="single"/>
        </w:rPr>
        <w:t xml:space="preserve"> – REMISE DES </w:t>
      </w:r>
      <w:r w:rsidR="00706016" w:rsidRPr="004F4BD7">
        <w:rPr>
          <w:rFonts w:ascii="Arial" w:hAnsi="Arial" w:cs="Arial"/>
          <w:b/>
          <w:bCs/>
          <w:caps/>
          <w:color w:val="000000" w:themeColor="text1"/>
          <w:sz w:val="18"/>
          <w:szCs w:val="18"/>
          <w:u w:val="single"/>
        </w:rPr>
        <w:t>DOTATIONS</w:t>
      </w:r>
    </w:p>
    <w:p w14:paraId="5ED71CA0" w14:textId="60E1E264"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Le porteur d’une carte dorée doit la présenter physiquement en restaurant pour vérification et la remettre au personnel sur place.</w:t>
      </w:r>
      <w:r w:rsidR="00021214" w:rsidRPr="004F4BD7">
        <w:rPr>
          <w:rFonts w:ascii="Arial" w:hAnsi="Arial" w:cs="Arial"/>
          <w:color w:val="000000" w:themeColor="text1"/>
          <w:sz w:val="18"/>
          <w:szCs w:val="18"/>
        </w:rPr>
        <w:t xml:space="preserve"> </w:t>
      </w:r>
    </w:p>
    <w:p w14:paraId="7D7214A4" w14:textId="77777777" w:rsidR="00561864" w:rsidRPr="004F4BD7" w:rsidRDefault="00561864" w:rsidP="00145B20">
      <w:pPr>
        <w:jc w:val="both"/>
        <w:rPr>
          <w:rFonts w:ascii="Arial" w:hAnsi="Arial" w:cs="Arial"/>
          <w:color w:val="000000" w:themeColor="text1"/>
          <w:sz w:val="18"/>
          <w:szCs w:val="18"/>
        </w:rPr>
      </w:pPr>
      <w:r w:rsidRPr="004F4BD7">
        <w:rPr>
          <w:rFonts w:ascii="Arial" w:hAnsi="Arial" w:cs="Arial"/>
          <w:color w:val="000000" w:themeColor="text1"/>
          <w:sz w:val="18"/>
          <w:szCs w:val="18"/>
        </w:rPr>
        <w:t>La carte doit être en bon état, lisible et non falsifiée. Le personnel vérifiera la validité de la carte et, en cas de doute, pourra demander confirmation auprès du siège.</w:t>
      </w:r>
    </w:p>
    <w:p w14:paraId="7B7419BE" w14:textId="77777777" w:rsidR="00021214" w:rsidRPr="004F4BD7" w:rsidRDefault="00021214" w:rsidP="00145B20">
      <w:pPr>
        <w:jc w:val="both"/>
        <w:rPr>
          <w:rFonts w:ascii="Arial" w:hAnsi="Arial" w:cs="Arial"/>
          <w:color w:val="000000" w:themeColor="text1"/>
          <w:sz w:val="18"/>
          <w:szCs w:val="18"/>
        </w:rPr>
      </w:pPr>
    </w:p>
    <w:p w14:paraId="1C8ED4B6" w14:textId="7C79A0F2" w:rsidR="00561864" w:rsidRPr="004F4BD7" w:rsidRDefault="00561864" w:rsidP="00145B20">
      <w:pPr>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 xml:space="preserve">ARTICLE </w:t>
      </w:r>
      <w:r w:rsidR="00145B20" w:rsidRPr="004F4BD7">
        <w:rPr>
          <w:rFonts w:ascii="Arial" w:hAnsi="Arial" w:cs="Arial"/>
          <w:b/>
          <w:bCs/>
          <w:caps/>
          <w:color w:val="000000" w:themeColor="text1"/>
          <w:sz w:val="18"/>
          <w:szCs w:val="18"/>
          <w:u w:val="single"/>
        </w:rPr>
        <w:t>8</w:t>
      </w:r>
      <w:r w:rsidRPr="004F4BD7">
        <w:rPr>
          <w:rFonts w:ascii="Arial" w:hAnsi="Arial" w:cs="Arial"/>
          <w:b/>
          <w:bCs/>
          <w:caps/>
          <w:color w:val="000000" w:themeColor="text1"/>
          <w:sz w:val="18"/>
          <w:szCs w:val="18"/>
          <w:u w:val="single"/>
        </w:rPr>
        <w:t xml:space="preserve"> – LIMITES DE RESPONSABILITÉ</w:t>
      </w:r>
    </w:p>
    <w:p w14:paraId="2E830AC8" w14:textId="77777777" w:rsidR="00561864" w:rsidRPr="004F4BD7" w:rsidRDefault="00561864"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La Société Organisatrice ne saurait être tenue responsable :</w:t>
      </w:r>
    </w:p>
    <w:p w14:paraId="74416B20" w14:textId="77777777" w:rsidR="00561864" w:rsidRPr="004F4BD7" w:rsidRDefault="00561864" w:rsidP="00145B20">
      <w:pPr>
        <w:pStyle w:val="Paragraphedeliste"/>
        <w:numPr>
          <w:ilvl w:val="0"/>
          <w:numId w:val="3"/>
        </w:numPr>
        <w:tabs>
          <w:tab w:val="num" w:pos="720"/>
        </w:tabs>
        <w:spacing w:line="240" w:lineRule="auto"/>
        <w:jc w:val="both"/>
        <w:rPr>
          <w:rFonts w:ascii="Arial" w:hAnsi="Arial" w:cs="Arial"/>
          <w:color w:val="000000" w:themeColor="text1"/>
          <w:sz w:val="18"/>
          <w:szCs w:val="18"/>
        </w:rPr>
      </w:pPr>
      <w:proofErr w:type="gramStart"/>
      <w:r w:rsidRPr="004F4BD7">
        <w:rPr>
          <w:rFonts w:ascii="Arial" w:hAnsi="Arial" w:cs="Arial"/>
          <w:color w:val="000000" w:themeColor="text1"/>
          <w:sz w:val="18"/>
          <w:szCs w:val="18"/>
        </w:rPr>
        <w:t>des</w:t>
      </w:r>
      <w:proofErr w:type="gramEnd"/>
      <w:r w:rsidRPr="004F4BD7">
        <w:rPr>
          <w:rFonts w:ascii="Arial" w:hAnsi="Arial" w:cs="Arial"/>
          <w:color w:val="000000" w:themeColor="text1"/>
          <w:sz w:val="18"/>
          <w:szCs w:val="18"/>
        </w:rPr>
        <w:t xml:space="preserve"> pertes, vols ou détériorations de cartes,</w:t>
      </w:r>
    </w:p>
    <w:p w14:paraId="0CB7ADFA" w14:textId="77777777" w:rsidR="00561864" w:rsidRPr="004F4BD7" w:rsidRDefault="00561864" w:rsidP="00145B20">
      <w:pPr>
        <w:pStyle w:val="Paragraphedeliste"/>
        <w:numPr>
          <w:ilvl w:val="0"/>
          <w:numId w:val="3"/>
        </w:numPr>
        <w:tabs>
          <w:tab w:val="num" w:pos="720"/>
        </w:tabs>
        <w:spacing w:line="240" w:lineRule="auto"/>
        <w:jc w:val="both"/>
        <w:rPr>
          <w:rFonts w:ascii="Arial" w:hAnsi="Arial" w:cs="Arial"/>
          <w:color w:val="000000" w:themeColor="text1"/>
          <w:sz w:val="18"/>
          <w:szCs w:val="18"/>
        </w:rPr>
      </w:pPr>
      <w:proofErr w:type="gramStart"/>
      <w:r w:rsidRPr="004F4BD7">
        <w:rPr>
          <w:rFonts w:ascii="Arial" w:hAnsi="Arial" w:cs="Arial"/>
          <w:color w:val="000000" w:themeColor="text1"/>
          <w:sz w:val="18"/>
          <w:szCs w:val="18"/>
        </w:rPr>
        <w:t>des</w:t>
      </w:r>
      <w:proofErr w:type="gramEnd"/>
      <w:r w:rsidRPr="004F4BD7">
        <w:rPr>
          <w:rFonts w:ascii="Arial" w:hAnsi="Arial" w:cs="Arial"/>
          <w:color w:val="000000" w:themeColor="text1"/>
          <w:sz w:val="18"/>
          <w:szCs w:val="18"/>
        </w:rPr>
        <w:t xml:space="preserve"> ruptures de stock de jeux,</w:t>
      </w:r>
    </w:p>
    <w:p w14:paraId="7D9A1354" w14:textId="2F865F20" w:rsidR="00561864" w:rsidRPr="004F4BD7" w:rsidRDefault="00561864" w:rsidP="00145B20">
      <w:pPr>
        <w:pStyle w:val="Paragraphedeliste"/>
        <w:numPr>
          <w:ilvl w:val="0"/>
          <w:numId w:val="3"/>
        </w:numPr>
        <w:tabs>
          <w:tab w:val="num" w:pos="720"/>
        </w:tabs>
        <w:spacing w:line="240" w:lineRule="auto"/>
        <w:jc w:val="both"/>
        <w:rPr>
          <w:rFonts w:ascii="Arial" w:hAnsi="Arial" w:cs="Arial"/>
          <w:color w:val="000000" w:themeColor="text1"/>
          <w:sz w:val="18"/>
          <w:szCs w:val="18"/>
        </w:rPr>
      </w:pPr>
      <w:proofErr w:type="gramStart"/>
      <w:r w:rsidRPr="004F4BD7">
        <w:rPr>
          <w:rFonts w:ascii="Arial" w:hAnsi="Arial" w:cs="Arial"/>
          <w:color w:val="000000" w:themeColor="text1"/>
          <w:sz w:val="18"/>
          <w:szCs w:val="18"/>
        </w:rPr>
        <w:t>ou</w:t>
      </w:r>
      <w:proofErr w:type="gramEnd"/>
      <w:r w:rsidRPr="004F4BD7">
        <w:rPr>
          <w:rFonts w:ascii="Arial" w:hAnsi="Arial" w:cs="Arial"/>
          <w:color w:val="000000" w:themeColor="text1"/>
          <w:sz w:val="18"/>
          <w:szCs w:val="18"/>
        </w:rPr>
        <w:t xml:space="preserve"> de toute insatisfaction liée </w:t>
      </w:r>
      <w:r w:rsidR="00D3173B" w:rsidRPr="004F4BD7">
        <w:rPr>
          <w:rFonts w:ascii="Arial" w:hAnsi="Arial" w:cs="Arial"/>
          <w:color w:val="000000" w:themeColor="text1"/>
          <w:sz w:val="18"/>
          <w:szCs w:val="18"/>
        </w:rPr>
        <w:t>à la dotation</w:t>
      </w:r>
      <w:r w:rsidRPr="004F4BD7">
        <w:rPr>
          <w:rFonts w:ascii="Arial" w:hAnsi="Arial" w:cs="Arial"/>
          <w:color w:val="000000" w:themeColor="text1"/>
          <w:sz w:val="18"/>
          <w:szCs w:val="18"/>
        </w:rPr>
        <w:t>.</w:t>
      </w:r>
    </w:p>
    <w:p w14:paraId="4EA6322E" w14:textId="5FC4A61A" w:rsidR="00DB17BA" w:rsidRPr="004F4BD7" w:rsidRDefault="00561864"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Aucun échange ni contrepartie financière ne pourra être accordé.</w:t>
      </w:r>
    </w:p>
    <w:p w14:paraId="48C0C426" w14:textId="3400D563" w:rsidR="00561864" w:rsidRPr="004F4BD7" w:rsidRDefault="00561864" w:rsidP="00145B20">
      <w:pPr>
        <w:spacing w:before="120" w:after="0" w:line="240" w:lineRule="auto"/>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 xml:space="preserve">ARTICLE </w:t>
      </w:r>
      <w:r w:rsidR="00145B20" w:rsidRPr="004F4BD7">
        <w:rPr>
          <w:rFonts w:ascii="Arial" w:hAnsi="Arial" w:cs="Arial"/>
          <w:b/>
          <w:bCs/>
          <w:caps/>
          <w:color w:val="000000" w:themeColor="text1"/>
          <w:sz w:val="18"/>
          <w:szCs w:val="18"/>
          <w:u w:val="single"/>
        </w:rPr>
        <w:t>9</w:t>
      </w:r>
      <w:r w:rsidRPr="004F4BD7">
        <w:rPr>
          <w:rFonts w:ascii="Arial" w:hAnsi="Arial" w:cs="Arial"/>
          <w:b/>
          <w:bCs/>
          <w:caps/>
          <w:color w:val="000000" w:themeColor="text1"/>
          <w:sz w:val="18"/>
          <w:szCs w:val="18"/>
          <w:u w:val="single"/>
        </w:rPr>
        <w:t xml:space="preserve"> – CONSULTATION DU RÈGLEMENT</w:t>
      </w:r>
    </w:p>
    <w:p w14:paraId="161BC4FA" w14:textId="77777777" w:rsidR="00561864" w:rsidRPr="004F4BD7" w:rsidRDefault="00561864" w:rsidP="00145B20">
      <w:pPr>
        <w:spacing w:before="120" w:after="0" w:line="240" w:lineRule="auto"/>
        <w:jc w:val="both"/>
        <w:rPr>
          <w:rFonts w:ascii="Arial" w:hAnsi="Arial" w:cs="Arial"/>
          <w:b/>
          <w:bCs/>
          <w:caps/>
          <w:color w:val="000000" w:themeColor="text1"/>
          <w:sz w:val="18"/>
          <w:szCs w:val="18"/>
          <w:u w:val="single"/>
        </w:rPr>
      </w:pPr>
    </w:p>
    <w:p w14:paraId="3C916307" w14:textId="3A892B26" w:rsidR="00F2167A" w:rsidRPr="004F4BD7" w:rsidRDefault="00561864"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 xml:space="preserve">Le présent règlement est consultable sur </w:t>
      </w:r>
      <w:hyperlink r:id="rId5" w:tgtFrame="_new" w:history="1">
        <w:r w:rsidRPr="004F4BD7">
          <w:rPr>
            <w:rFonts w:ascii="Arial" w:hAnsi="Arial" w:cs="Arial"/>
            <w:color w:val="000000" w:themeColor="text1"/>
            <w:sz w:val="18"/>
            <w:szCs w:val="18"/>
          </w:rPr>
          <w:t>www.la-boucherie.fr</w:t>
        </w:r>
      </w:hyperlink>
      <w:r w:rsidRPr="004F4BD7">
        <w:rPr>
          <w:rFonts w:ascii="Arial" w:hAnsi="Arial" w:cs="Arial"/>
          <w:color w:val="000000" w:themeColor="text1"/>
          <w:sz w:val="18"/>
          <w:szCs w:val="18"/>
        </w:rPr>
        <w:t xml:space="preserve"> et disponible gratuitement sur demande dans les restaurants participants.</w:t>
      </w:r>
    </w:p>
    <w:p w14:paraId="74A7301E" w14:textId="77777777" w:rsidR="00145B20" w:rsidRPr="004F4BD7" w:rsidRDefault="00145B20" w:rsidP="00145B20">
      <w:pPr>
        <w:spacing w:line="240" w:lineRule="auto"/>
        <w:jc w:val="both"/>
        <w:rPr>
          <w:rFonts w:ascii="Arial" w:hAnsi="Arial" w:cs="Arial"/>
          <w:b/>
          <w:bCs/>
          <w:color w:val="000000" w:themeColor="text1"/>
          <w:sz w:val="18"/>
          <w:szCs w:val="18"/>
          <w:u w:val="single"/>
        </w:rPr>
      </w:pPr>
      <w:r w:rsidRPr="004F4BD7">
        <w:rPr>
          <w:rFonts w:ascii="Arial" w:hAnsi="Arial" w:cs="Arial"/>
          <w:b/>
          <w:bCs/>
          <w:color w:val="000000" w:themeColor="text1"/>
          <w:sz w:val="18"/>
          <w:szCs w:val="18"/>
          <w:u w:val="single"/>
        </w:rPr>
        <w:t>ARTICLE 10 – ANNULATION ET MODIFICATION DU RÈGLEMENT</w:t>
      </w:r>
    </w:p>
    <w:p w14:paraId="5BB90CA1" w14:textId="4CEDF0D3" w:rsidR="00DF2ADA" w:rsidRPr="004F4BD7" w:rsidRDefault="00145B20"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La Société Organisatrice se réserve le droit de modifier, reporter, annuler ou prolonger la durée du jeu si les circonstances l’exigent, sans que sa responsabilité ne puisse être engagée à ce titre.</w:t>
      </w:r>
    </w:p>
    <w:p w14:paraId="5DA6AB31" w14:textId="77777777" w:rsidR="00145B20" w:rsidRPr="004F4BD7" w:rsidRDefault="00145B20" w:rsidP="00145B20">
      <w:pPr>
        <w:spacing w:line="240" w:lineRule="auto"/>
        <w:jc w:val="both"/>
        <w:rPr>
          <w:rFonts w:ascii="Arial" w:hAnsi="Arial" w:cs="Arial"/>
          <w:b/>
          <w:bCs/>
          <w:color w:val="000000" w:themeColor="text1"/>
          <w:sz w:val="18"/>
          <w:szCs w:val="18"/>
          <w:u w:val="single"/>
        </w:rPr>
      </w:pPr>
      <w:r w:rsidRPr="004F4BD7">
        <w:rPr>
          <w:rFonts w:ascii="Arial" w:hAnsi="Arial" w:cs="Arial"/>
          <w:b/>
          <w:bCs/>
          <w:color w:val="000000" w:themeColor="text1"/>
          <w:sz w:val="18"/>
          <w:szCs w:val="18"/>
          <w:u w:val="single"/>
        </w:rPr>
        <w:t>ARTICLE 11 – CONTESTATION</w:t>
      </w:r>
    </w:p>
    <w:p w14:paraId="5E02628C" w14:textId="16A0CFD9" w:rsidR="00145B20" w:rsidRPr="004F4BD7" w:rsidRDefault="00145B20"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Toute question d’interprétation et/ou d’application du présent règlement, et/ou toute question non prévue aux présentes et qui viendrait à se poser dans le cadre du jeu, devra être transmise à la Société Organisatrice dans un délai maximum de</w:t>
      </w:r>
      <w:r w:rsidR="001B5230" w:rsidRPr="004F4BD7">
        <w:rPr>
          <w:rFonts w:ascii="Arial" w:hAnsi="Arial" w:cs="Arial"/>
          <w:color w:val="000000" w:themeColor="text1"/>
          <w:sz w:val="18"/>
          <w:szCs w:val="18"/>
        </w:rPr>
        <w:t xml:space="preserve"> </w:t>
      </w:r>
      <w:r w:rsidR="0068029B" w:rsidRPr="004F4BD7">
        <w:rPr>
          <w:rFonts w:ascii="Arial" w:hAnsi="Arial" w:cs="Arial"/>
          <w:color w:val="000000" w:themeColor="text1"/>
          <w:sz w:val="18"/>
          <w:szCs w:val="18"/>
        </w:rPr>
        <w:t>30</w:t>
      </w:r>
      <w:r w:rsidRPr="004F4BD7">
        <w:rPr>
          <w:rFonts w:ascii="Arial" w:hAnsi="Arial" w:cs="Arial"/>
          <w:color w:val="000000" w:themeColor="text1"/>
          <w:sz w:val="18"/>
          <w:szCs w:val="18"/>
        </w:rPr>
        <w:t xml:space="preserve"> jours à compter de la date de la clôture du jeu telle qu’identifiée par les présentes. </w:t>
      </w:r>
    </w:p>
    <w:p w14:paraId="1C8B8D59" w14:textId="77777777" w:rsidR="00145B20" w:rsidRPr="004F4BD7" w:rsidRDefault="00145B20"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Elle sera tranchée souverainement, selon la nature de la question, par la Société Organisatrice dans le respect du droit en vigueur.</w:t>
      </w:r>
    </w:p>
    <w:p w14:paraId="11804B27" w14:textId="30BA45CE" w:rsidR="00145B20" w:rsidRPr="004F4BD7" w:rsidRDefault="00145B20"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Aucune contestation ou réclamation relative au jeu ne sera prise en considération passé le délai susdit.</w:t>
      </w:r>
    </w:p>
    <w:p w14:paraId="2E33C671" w14:textId="796DC580" w:rsidR="00A82A94" w:rsidRPr="004F4BD7" w:rsidRDefault="00A82A94" w:rsidP="00145B20">
      <w:pPr>
        <w:spacing w:line="240" w:lineRule="auto"/>
        <w:jc w:val="both"/>
        <w:rPr>
          <w:rFonts w:ascii="Arial" w:hAnsi="Arial" w:cs="Arial"/>
          <w:b/>
          <w:bCs/>
          <w:color w:val="000000" w:themeColor="text1"/>
          <w:sz w:val="18"/>
          <w:szCs w:val="18"/>
          <w:u w:val="single"/>
        </w:rPr>
      </w:pPr>
      <w:r w:rsidRPr="004F4BD7">
        <w:rPr>
          <w:rFonts w:ascii="Arial" w:hAnsi="Arial" w:cs="Arial"/>
          <w:b/>
          <w:bCs/>
          <w:color w:val="000000" w:themeColor="text1"/>
          <w:sz w:val="18"/>
          <w:szCs w:val="18"/>
          <w:u w:val="single"/>
        </w:rPr>
        <w:t>ARTICLE 12 - VÉRIFICATION D’IDENTITÉ ET PREUVES D’ACHATS</w:t>
      </w:r>
    </w:p>
    <w:p w14:paraId="2F230779" w14:textId="35B4F13E" w:rsidR="00A82A94" w:rsidRPr="004F4BD7" w:rsidRDefault="00A82A94"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La Société Organisatrice se réserve le droit de demander une copie de la pièce d’identité des participants à tout moment, dans la mesure où il est rappelé qu’aucune personne mineure ne pourra participer ou prétendre aux dotations mises en jeu dans le cadre des présentes.</w:t>
      </w:r>
    </w:p>
    <w:p w14:paraId="1CC18985" w14:textId="4BDD202A" w:rsidR="00A82A94" w:rsidRPr="004F4BD7" w:rsidRDefault="00A82A94"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 xml:space="preserve">Les participants autorisent également toutes vérifications concernant l’achat des plats porteurs de l’offre. À cet effet, ils devront être en mesure de produire les tickets de caisse originaux et lisibles mentionnant le ou les plats porteurs de l’offre. Dans l’hypothèse où ils ne pourraient présenter les documents demandés, la Société Organisatrice se réserve le droit de ne pas leur donner leur dotation. </w:t>
      </w:r>
    </w:p>
    <w:p w14:paraId="204A6ABD" w14:textId="19E86728" w:rsidR="00D84D99" w:rsidRPr="004F4BD7" w:rsidRDefault="00D84D99" w:rsidP="00145B20">
      <w:pPr>
        <w:spacing w:line="240" w:lineRule="auto"/>
        <w:jc w:val="both"/>
        <w:rPr>
          <w:rFonts w:ascii="Arial" w:hAnsi="Arial" w:cs="Arial"/>
          <w:b/>
          <w:bCs/>
          <w:caps/>
          <w:color w:val="000000" w:themeColor="text1"/>
          <w:sz w:val="18"/>
          <w:szCs w:val="18"/>
          <w:u w:val="single"/>
        </w:rPr>
      </w:pPr>
      <w:r w:rsidRPr="004F4BD7">
        <w:rPr>
          <w:rFonts w:ascii="Arial" w:hAnsi="Arial" w:cs="Arial"/>
          <w:b/>
          <w:bCs/>
          <w:caps/>
          <w:color w:val="000000" w:themeColor="text1"/>
          <w:sz w:val="18"/>
          <w:szCs w:val="18"/>
          <w:u w:val="single"/>
        </w:rPr>
        <w:t xml:space="preserve">ARTICLE </w:t>
      </w:r>
      <w:r w:rsidR="00145B20" w:rsidRPr="004F4BD7">
        <w:rPr>
          <w:rFonts w:ascii="Arial" w:hAnsi="Arial" w:cs="Arial"/>
          <w:b/>
          <w:bCs/>
          <w:caps/>
          <w:color w:val="000000" w:themeColor="text1"/>
          <w:sz w:val="18"/>
          <w:szCs w:val="18"/>
          <w:u w:val="single"/>
        </w:rPr>
        <w:t>1</w:t>
      </w:r>
      <w:r w:rsidR="00A82A94" w:rsidRPr="004F4BD7">
        <w:rPr>
          <w:rFonts w:ascii="Arial" w:hAnsi="Arial" w:cs="Arial"/>
          <w:b/>
          <w:bCs/>
          <w:caps/>
          <w:color w:val="000000" w:themeColor="text1"/>
          <w:sz w:val="18"/>
          <w:szCs w:val="18"/>
          <w:u w:val="single"/>
        </w:rPr>
        <w:t>3</w:t>
      </w:r>
      <w:r w:rsidRPr="004F4BD7">
        <w:rPr>
          <w:rFonts w:ascii="Arial" w:hAnsi="Arial" w:cs="Arial"/>
          <w:b/>
          <w:bCs/>
          <w:caps/>
          <w:color w:val="000000" w:themeColor="text1"/>
          <w:sz w:val="18"/>
          <w:szCs w:val="18"/>
          <w:u w:val="single"/>
        </w:rPr>
        <w:t xml:space="preserve"> – DONNÉES PERSONNELLES</w:t>
      </w:r>
    </w:p>
    <w:p w14:paraId="6BCFDB4B" w14:textId="64F5D5D0" w:rsidR="00021214" w:rsidRPr="004F4BD7" w:rsidRDefault="00D84D99"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 xml:space="preserve">Aucune donnée personnelle n’est collectée dans le cadre de ce jeu, sauf en cas de gain d’une carte dorée. Le gagnant pourra être invité à communiquer ses coordonnées au personnel du restaurant à des fins de remise </w:t>
      </w:r>
      <w:r w:rsidR="00706016" w:rsidRPr="004F4BD7">
        <w:rPr>
          <w:rFonts w:ascii="Arial" w:hAnsi="Arial" w:cs="Arial"/>
          <w:color w:val="000000" w:themeColor="text1"/>
          <w:sz w:val="18"/>
          <w:szCs w:val="18"/>
        </w:rPr>
        <w:t>de la dotation</w:t>
      </w:r>
      <w:r w:rsidRPr="004F4BD7">
        <w:rPr>
          <w:rFonts w:ascii="Arial" w:hAnsi="Arial" w:cs="Arial"/>
          <w:color w:val="000000" w:themeColor="text1"/>
          <w:sz w:val="18"/>
          <w:szCs w:val="18"/>
        </w:rPr>
        <w:t>.</w:t>
      </w:r>
    </w:p>
    <w:p w14:paraId="236965D5" w14:textId="201CB034" w:rsidR="00145B20" w:rsidRPr="004F4BD7" w:rsidRDefault="00D84D99"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Ces données ne seront ni conservées ni transmises à des tiers, et seront supprimées dès que le lot aura été délivré. Conformément à la loi Informatique et Libertés et au RGPD, chaque participant dispose d’un droit d’accès, de rectification et d’effacement en s’adressant à :</w:t>
      </w:r>
    </w:p>
    <w:p w14:paraId="3C994EB6" w14:textId="4D84B906" w:rsidR="00D84D99" w:rsidRPr="004F4BD7" w:rsidRDefault="00D84D99" w:rsidP="00145B20">
      <w:pPr>
        <w:spacing w:line="240" w:lineRule="auto"/>
        <w:jc w:val="center"/>
        <w:rPr>
          <w:rFonts w:ascii="Arial" w:hAnsi="Arial" w:cs="Arial"/>
          <w:color w:val="000000" w:themeColor="text1"/>
          <w:sz w:val="18"/>
          <w:szCs w:val="18"/>
        </w:rPr>
      </w:pPr>
      <w:r w:rsidRPr="004F4BD7">
        <w:rPr>
          <w:rFonts w:ascii="Arial" w:hAnsi="Arial" w:cs="Arial"/>
          <w:color w:val="000000" w:themeColor="text1"/>
          <w:sz w:val="18"/>
          <w:szCs w:val="18"/>
        </w:rPr>
        <w:t>GESTBOUCH – Service client, Rue du Paon, 49124 Saint-Barthélemy-d’Anjou</w:t>
      </w:r>
    </w:p>
    <w:p w14:paraId="1BE175F8" w14:textId="3225C331" w:rsidR="00145B20" w:rsidRPr="004F4BD7" w:rsidRDefault="00145B20" w:rsidP="00145B20">
      <w:pPr>
        <w:spacing w:line="240" w:lineRule="auto"/>
        <w:jc w:val="both"/>
        <w:rPr>
          <w:rFonts w:ascii="Arial" w:hAnsi="Arial" w:cs="Arial"/>
          <w:b/>
          <w:bCs/>
          <w:color w:val="000000" w:themeColor="text1"/>
          <w:sz w:val="18"/>
          <w:szCs w:val="18"/>
          <w:u w:val="single"/>
        </w:rPr>
      </w:pPr>
      <w:r w:rsidRPr="004F4BD7">
        <w:rPr>
          <w:rFonts w:ascii="Arial" w:hAnsi="Arial" w:cs="Arial"/>
          <w:b/>
          <w:bCs/>
          <w:color w:val="000000" w:themeColor="text1"/>
          <w:sz w:val="18"/>
          <w:szCs w:val="18"/>
          <w:u w:val="single"/>
        </w:rPr>
        <w:t>ARTICLE 1</w:t>
      </w:r>
      <w:r w:rsidR="00652A45" w:rsidRPr="004F4BD7">
        <w:rPr>
          <w:rFonts w:ascii="Arial" w:hAnsi="Arial" w:cs="Arial"/>
          <w:b/>
          <w:bCs/>
          <w:color w:val="000000" w:themeColor="text1"/>
          <w:sz w:val="18"/>
          <w:szCs w:val="18"/>
          <w:u w:val="single"/>
        </w:rPr>
        <w:t>4</w:t>
      </w:r>
      <w:r w:rsidRPr="004F4BD7">
        <w:rPr>
          <w:rFonts w:ascii="Arial" w:hAnsi="Arial" w:cs="Arial"/>
          <w:b/>
          <w:bCs/>
          <w:color w:val="000000" w:themeColor="text1"/>
          <w:sz w:val="18"/>
          <w:szCs w:val="18"/>
          <w:u w:val="single"/>
        </w:rPr>
        <w:t xml:space="preserve"> – LOI APPLICABLE</w:t>
      </w:r>
    </w:p>
    <w:p w14:paraId="33776B88" w14:textId="77777777" w:rsidR="00145B20" w:rsidRPr="004F4BD7" w:rsidRDefault="00145B20"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Le présent règlement est soumis aux dispositions du droit français.</w:t>
      </w:r>
    </w:p>
    <w:p w14:paraId="07652257" w14:textId="77777777" w:rsidR="00145B20" w:rsidRPr="004F4BD7" w:rsidRDefault="00145B20"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Tout différend, non prévu par le présent règlement, né à l’occasion du jeu, fera l’objet d’une tentative de règlement amiable.</w:t>
      </w:r>
    </w:p>
    <w:p w14:paraId="3C096450" w14:textId="4DE32697" w:rsidR="00145B20" w:rsidRPr="004F4BD7" w:rsidRDefault="00145B20" w:rsidP="00145B20">
      <w:pPr>
        <w:spacing w:line="240" w:lineRule="auto"/>
        <w:jc w:val="both"/>
        <w:rPr>
          <w:rFonts w:ascii="Arial" w:hAnsi="Arial" w:cs="Arial"/>
          <w:color w:val="000000" w:themeColor="text1"/>
          <w:sz w:val="18"/>
          <w:szCs w:val="18"/>
        </w:rPr>
      </w:pPr>
      <w:r w:rsidRPr="004F4BD7">
        <w:rPr>
          <w:rFonts w:ascii="Arial" w:hAnsi="Arial" w:cs="Arial"/>
          <w:color w:val="000000" w:themeColor="text1"/>
          <w:sz w:val="18"/>
          <w:szCs w:val="18"/>
        </w:rPr>
        <w:t>À défaut le litige sera soumis à la compétence exclusive des tribunaux compétents dans les conditions de droit commun.</w:t>
      </w:r>
    </w:p>
    <w:p w14:paraId="5229A635" w14:textId="77777777" w:rsidR="00145B20" w:rsidRPr="004F4BD7" w:rsidRDefault="00145B20" w:rsidP="00145B20">
      <w:pPr>
        <w:spacing w:line="240" w:lineRule="auto"/>
        <w:jc w:val="both"/>
        <w:rPr>
          <w:rFonts w:ascii="Arial" w:hAnsi="Arial" w:cs="Arial"/>
          <w:color w:val="000000" w:themeColor="text1"/>
          <w:sz w:val="18"/>
          <w:szCs w:val="18"/>
        </w:rPr>
      </w:pPr>
    </w:p>
    <w:sectPr w:rsidR="00145B20" w:rsidRPr="004F4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16E"/>
    <w:multiLevelType w:val="hybridMultilevel"/>
    <w:tmpl w:val="EB969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F6281D"/>
    <w:multiLevelType w:val="hybridMultilevel"/>
    <w:tmpl w:val="29B8C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71030A"/>
    <w:multiLevelType w:val="multilevel"/>
    <w:tmpl w:val="6692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F5E9F"/>
    <w:multiLevelType w:val="multilevel"/>
    <w:tmpl w:val="751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517386">
    <w:abstractNumId w:val="2"/>
  </w:num>
  <w:num w:numId="2" w16cid:durableId="89669581">
    <w:abstractNumId w:val="3"/>
  </w:num>
  <w:num w:numId="3" w16cid:durableId="1568372957">
    <w:abstractNumId w:val="0"/>
  </w:num>
  <w:num w:numId="4" w16cid:durableId="192657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64"/>
    <w:rsid w:val="00021214"/>
    <w:rsid w:val="000C4FD9"/>
    <w:rsid w:val="00145B20"/>
    <w:rsid w:val="001B5230"/>
    <w:rsid w:val="00291BFB"/>
    <w:rsid w:val="002B19F7"/>
    <w:rsid w:val="004243A3"/>
    <w:rsid w:val="004569BC"/>
    <w:rsid w:val="004E7812"/>
    <w:rsid w:val="004F4BD7"/>
    <w:rsid w:val="0054393C"/>
    <w:rsid w:val="00561864"/>
    <w:rsid w:val="005F0D23"/>
    <w:rsid w:val="00652A45"/>
    <w:rsid w:val="0068029B"/>
    <w:rsid w:val="00693972"/>
    <w:rsid w:val="00706016"/>
    <w:rsid w:val="007A67C3"/>
    <w:rsid w:val="0085096B"/>
    <w:rsid w:val="0086689F"/>
    <w:rsid w:val="009E1A35"/>
    <w:rsid w:val="00A82A94"/>
    <w:rsid w:val="00C254BC"/>
    <w:rsid w:val="00C50766"/>
    <w:rsid w:val="00D3173B"/>
    <w:rsid w:val="00D319E1"/>
    <w:rsid w:val="00D842A6"/>
    <w:rsid w:val="00D84D99"/>
    <w:rsid w:val="00D966DB"/>
    <w:rsid w:val="00DB17BA"/>
    <w:rsid w:val="00DF2ADA"/>
    <w:rsid w:val="00F21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E6AF"/>
  <w15:chartTrackingRefBased/>
  <w15:docId w15:val="{1A8FA9B5-26FF-4818-8562-0F893339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1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1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186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186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186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18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18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18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18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186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186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186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6186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6186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618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18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18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1864"/>
    <w:rPr>
      <w:rFonts w:eastAsiaTheme="majorEastAsia" w:cstheme="majorBidi"/>
      <w:color w:val="272727" w:themeColor="text1" w:themeTint="D8"/>
    </w:rPr>
  </w:style>
  <w:style w:type="paragraph" w:styleId="Titre">
    <w:name w:val="Title"/>
    <w:basedOn w:val="Normal"/>
    <w:next w:val="Normal"/>
    <w:link w:val="TitreCar"/>
    <w:uiPriority w:val="10"/>
    <w:qFormat/>
    <w:rsid w:val="00561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18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18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18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1864"/>
    <w:pPr>
      <w:spacing w:before="160"/>
      <w:jc w:val="center"/>
    </w:pPr>
    <w:rPr>
      <w:i/>
      <w:iCs/>
      <w:color w:val="404040" w:themeColor="text1" w:themeTint="BF"/>
    </w:rPr>
  </w:style>
  <w:style w:type="character" w:customStyle="1" w:styleId="CitationCar">
    <w:name w:val="Citation Car"/>
    <w:basedOn w:val="Policepardfaut"/>
    <w:link w:val="Citation"/>
    <w:uiPriority w:val="29"/>
    <w:rsid w:val="00561864"/>
    <w:rPr>
      <w:i/>
      <w:iCs/>
      <w:color w:val="404040" w:themeColor="text1" w:themeTint="BF"/>
    </w:rPr>
  </w:style>
  <w:style w:type="paragraph" w:styleId="Paragraphedeliste">
    <w:name w:val="List Paragraph"/>
    <w:basedOn w:val="Normal"/>
    <w:uiPriority w:val="34"/>
    <w:qFormat/>
    <w:rsid w:val="00561864"/>
    <w:pPr>
      <w:ind w:left="720"/>
      <w:contextualSpacing/>
    </w:pPr>
  </w:style>
  <w:style w:type="character" w:styleId="Accentuationintense">
    <w:name w:val="Intense Emphasis"/>
    <w:basedOn w:val="Policepardfaut"/>
    <w:uiPriority w:val="21"/>
    <w:qFormat/>
    <w:rsid w:val="00561864"/>
    <w:rPr>
      <w:i/>
      <w:iCs/>
      <w:color w:val="0F4761" w:themeColor="accent1" w:themeShade="BF"/>
    </w:rPr>
  </w:style>
  <w:style w:type="paragraph" w:styleId="Citationintense">
    <w:name w:val="Intense Quote"/>
    <w:basedOn w:val="Normal"/>
    <w:next w:val="Normal"/>
    <w:link w:val="CitationintenseCar"/>
    <w:uiPriority w:val="30"/>
    <w:qFormat/>
    <w:rsid w:val="00561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1864"/>
    <w:rPr>
      <w:i/>
      <w:iCs/>
      <w:color w:val="0F4761" w:themeColor="accent1" w:themeShade="BF"/>
    </w:rPr>
  </w:style>
  <w:style w:type="character" w:styleId="Rfrenceintense">
    <w:name w:val="Intense Reference"/>
    <w:basedOn w:val="Policepardfaut"/>
    <w:uiPriority w:val="32"/>
    <w:qFormat/>
    <w:rsid w:val="00561864"/>
    <w:rPr>
      <w:b/>
      <w:bCs/>
      <w:smallCaps/>
      <w:color w:val="0F4761" w:themeColor="accent1" w:themeShade="BF"/>
      <w:spacing w:val="5"/>
    </w:rPr>
  </w:style>
  <w:style w:type="character" w:styleId="Lienhypertexte">
    <w:name w:val="Hyperlink"/>
    <w:basedOn w:val="Policepardfaut"/>
    <w:uiPriority w:val="99"/>
    <w:unhideWhenUsed/>
    <w:rsid w:val="00561864"/>
    <w:rPr>
      <w:color w:val="467886" w:themeColor="hyperlink"/>
      <w:u w:val="single"/>
    </w:rPr>
  </w:style>
  <w:style w:type="character" w:styleId="Mentionnonrsolue">
    <w:name w:val="Unresolved Mention"/>
    <w:basedOn w:val="Policepardfaut"/>
    <w:uiPriority w:val="99"/>
    <w:semiHidden/>
    <w:unhideWhenUsed/>
    <w:rsid w:val="0056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2769">
      <w:bodyDiv w:val="1"/>
      <w:marLeft w:val="0"/>
      <w:marRight w:val="0"/>
      <w:marTop w:val="0"/>
      <w:marBottom w:val="0"/>
      <w:divBdr>
        <w:top w:val="none" w:sz="0" w:space="0" w:color="auto"/>
        <w:left w:val="none" w:sz="0" w:space="0" w:color="auto"/>
        <w:bottom w:val="none" w:sz="0" w:space="0" w:color="auto"/>
        <w:right w:val="none" w:sz="0" w:space="0" w:color="auto"/>
      </w:divBdr>
    </w:div>
    <w:div w:id="495418072">
      <w:bodyDiv w:val="1"/>
      <w:marLeft w:val="0"/>
      <w:marRight w:val="0"/>
      <w:marTop w:val="0"/>
      <w:marBottom w:val="0"/>
      <w:divBdr>
        <w:top w:val="none" w:sz="0" w:space="0" w:color="auto"/>
        <w:left w:val="none" w:sz="0" w:space="0" w:color="auto"/>
        <w:bottom w:val="none" w:sz="0" w:space="0" w:color="auto"/>
        <w:right w:val="none" w:sz="0" w:space="0" w:color="auto"/>
      </w:divBdr>
    </w:div>
    <w:div w:id="671176609">
      <w:bodyDiv w:val="1"/>
      <w:marLeft w:val="0"/>
      <w:marRight w:val="0"/>
      <w:marTop w:val="0"/>
      <w:marBottom w:val="0"/>
      <w:divBdr>
        <w:top w:val="none" w:sz="0" w:space="0" w:color="auto"/>
        <w:left w:val="none" w:sz="0" w:space="0" w:color="auto"/>
        <w:bottom w:val="none" w:sz="0" w:space="0" w:color="auto"/>
        <w:right w:val="none" w:sz="0" w:space="0" w:color="auto"/>
      </w:divBdr>
      <w:divsChild>
        <w:div w:id="1687094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415470">
      <w:bodyDiv w:val="1"/>
      <w:marLeft w:val="0"/>
      <w:marRight w:val="0"/>
      <w:marTop w:val="0"/>
      <w:marBottom w:val="0"/>
      <w:divBdr>
        <w:top w:val="none" w:sz="0" w:space="0" w:color="auto"/>
        <w:left w:val="none" w:sz="0" w:space="0" w:color="auto"/>
        <w:bottom w:val="none" w:sz="0" w:space="0" w:color="auto"/>
        <w:right w:val="none" w:sz="0" w:space="0" w:color="auto"/>
      </w:divBdr>
      <w:divsChild>
        <w:div w:id="363747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boucheri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915</Words>
  <Characters>5037</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MOREAU  - SIÈGE SOCIAL</dc:creator>
  <cp:keywords/>
  <dc:description/>
  <cp:lastModifiedBy>Caroline MOREAU  - SIÈGE SOCIAL</cp:lastModifiedBy>
  <cp:revision>2</cp:revision>
  <dcterms:created xsi:type="dcterms:W3CDTF">2025-07-11T09:02:00Z</dcterms:created>
  <dcterms:modified xsi:type="dcterms:W3CDTF">2025-07-11T09:02:00Z</dcterms:modified>
</cp:coreProperties>
</file>